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264E0" w14:textId="77777777" w:rsidR="00AB0869" w:rsidRDefault="00000000">
      <w:pPr>
        <w:ind w:right="-1440" w:hanging="1417"/>
        <w:jc w:val="center"/>
        <w:rPr>
          <w:rFonts w:ascii="Montserrat Light" w:eastAsia="Montserrat Light" w:hAnsi="Montserrat Light" w:cs="Montserrat Light"/>
          <w:sz w:val="80"/>
          <w:szCs w:val="80"/>
        </w:rPr>
      </w:pPr>
      <w:r>
        <w:rPr>
          <w:rFonts w:ascii="Montserrat Light" w:eastAsia="Montserrat Light" w:hAnsi="Montserrat Light" w:cs="Montserrat Light"/>
          <w:noProof/>
          <w:sz w:val="80"/>
          <w:szCs w:val="80"/>
        </w:rPr>
        <w:drawing>
          <wp:inline distT="114300" distB="114300" distL="114300" distR="114300" wp14:anchorId="467B8222" wp14:editId="0B3C27C6">
            <wp:extent cx="6653486" cy="93920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3486" cy="939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B4B361" w14:textId="77777777" w:rsidR="00AB0869" w:rsidRDefault="00000000" w:rsidP="00712745">
      <w:pPr>
        <w:pStyle w:val="Titolo2"/>
        <w:numPr>
          <w:ilvl w:val="0"/>
          <w:numId w:val="2"/>
        </w:numPr>
        <w:spacing w:before="240" w:after="0"/>
      </w:pPr>
      <w:bookmarkStart w:id="0" w:name="_o6de9tqlks8d" w:colFirst="0" w:colLast="0"/>
      <w:bookmarkEnd w:id="0"/>
      <w:r>
        <w:lastRenderedPageBreak/>
        <w:t>Definizione chiara del fabbisogno aziendale da soddisfare con il nuovo bene.</w:t>
      </w:r>
      <w:r>
        <w:br/>
      </w:r>
    </w:p>
    <w:p w14:paraId="14524717" w14:textId="77777777" w:rsidR="00AB0869" w:rsidRDefault="00000000" w:rsidP="00712745">
      <w:pPr>
        <w:pStyle w:val="Titolo2"/>
        <w:numPr>
          <w:ilvl w:val="0"/>
          <w:numId w:val="2"/>
        </w:numPr>
        <w:spacing w:before="0" w:after="0"/>
      </w:pPr>
      <w:bookmarkStart w:id="1" w:name="_tb80sgx0qxd4" w:colFirst="0" w:colLast="0"/>
      <w:bookmarkEnd w:id="1"/>
      <w:r>
        <w:t>Stima completa del Total Cost of Ownership (TCO), inclusi costi nascosti, manutenzione e formazione.</w:t>
      </w:r>
      <w:r>
        <w:br/>
      </w:r>
    </w:p>
    <w:p w14:paraId="337DEF55" w14:textId="77777777" w:rsidR="00AB0869" w:rsidRDefault="00000000" w:rsidP="00712745">
      <w:pPr>
        <w:pStyle w:val="Titolo2"/>
        <w:numPr>
          <w:ilvl w:val="0"/>
          <w:numId w:val="2"/>
        </w:numPr>
        <w:spacing w:before="0" w:after="0"/>
      </w:pPr>
      <w:bookmarkStart w:id="2" w:name="_uu06r3n2te33" w:colFirst="0" w:colLast="0"/>
      <w:bookmarkEnd w:id="2"/>
      <w:r>
        <w:t>Verifica della compatibilità del bene con sistemi, software e processi aziendali già in uso.</w:t>
      </w:r>
      <w:r>
        <w:br/>
      </w:r>
    </w:p>
    <w:p w14:paraId="01536FA4" w14:textId="77777777" w:rsidR="00AB0869" w:rsidRDefault="00000000" w:rsidP="00712745">
      <w:pPr>
        <w:pStyle w:val="Titolo2"/>
        <w:numPr>
          <w:ilvl w:val="0"/>
          <w:numId w:val="2"/>
        </w:numPr>
        <w:spacing w:before="0" w:after="0"/>
      </w:pPr>
      <w:bookmarkStart w:id="3" w:name="_ygcf1r4p1cgl" w:colFirst="0" w:colLast="0"/>
      <w:bookmarkEnd w:id="3"/>
      <w:r>
        <w:t>Identificazione di KPI utili a misurare l’efficacia dell’investimento.</w:t>
      </w:r>
      <w:r>
        <w:br/>
      </w:r>
    </w:p>
    <w:p w14:paraId="78EE9F4C" w14:textId="77777777" w:rsidR="00AB0869" w:rsidRDefault="00000000" w:rsidP="00712745">
      <w:pPr>
        <w:pStyle w:val="Titolo2"/>
        <w:numPr>
          <w:ilvl w:val="0"/>
          <w:numId w:val="2"/>
        </w:numPr>
        <w:spacing w:before="0" w:after="0"/>
      </w:pPr>
      <w:bookmarkStart w:id="4" w:name="_h021nsjle8o2" w:colFirst="0" w:colLast="0"/>
      <w:bookmarkEnd w:id="4"/>
      <w:r>
        <w:t>Valutazione del ROI atteso in base agli obiettivi di efficienza o crescita.</w:t>
      </w:r>
      <w:r>
        <w:br/>
      </w:r>
    </w:p>
    <w:p w14:paraId="756213B4" w14:textId="77777777" w:rsidR="00AB0869" w:rsidRDefault="00000000" w:rsidP="00712745">
      <w:pPr>
        <w:pStyle w:val="Titolo2"/>
        <w:numPr>
          <w:ilvl w:val="0"/>
          <w:numId w:val="2"/>
        </w:numPr>
        <w:spacing w:before="0" w:after="0"/>
      </w:pPr>
      <w:bookmarkStart w:id="5" w:name="_yjv0zvnwi1id" w:colFirst="0" w:colLast="0"/>
      <w:bookmarkEnd w:id="5"/>
      <w:r>
        <w:t>Analisi delle agevolazioni disponibili e dei requisiti di accesso (es. Nuova Sabatini, Transizione 5.0).</w:t>
      </w:r>
      <w:r>
        <w:br/>
      </w:r>
    </w:p>
    <w:p w14:paraId="4E9AD7C0" w14:textId="77777777" w:rsidR="00AB0869" w:rsidRDefault="00000000" w:rsidP="00712745">
      <w:pPr>
        <w:pStyle w:val="Titolo2"/>
        <w:numPr>
          <w:ilvl w:val="0"/>
          <w:numId w:val="2"/>
        </w:numPr>
        <w:spacing w:before="0" w:after="0"/>
      </w:pPr>
      <w:bookmarkStart w:id="6" w:name="_axcacy7hrjj7" w:colFirst="0" w:colLast="0"/>
      <w:bookmarkEnd w:id="6"/>
      <w:r>
        <w:t>Controllo del rispetto delle normative di settore e dei requisiti di conformità (GDPR, certificazioni).</w:t>
      </w:r>
      <w:r>
        <w:br/>
      </w:r>
    </w:p>
    <w:p w14:paraId="2553C83A" w14:textId="77777777" w:rsidR="00AB0869" w:rsidRDefault="00000000" w:rsidP="00712745">
      <w:pPr>
        <w:pStyle w:val="Titolo2"/>
        <w:numPr>
          <w:ilvl w:val="0"/>
          <w:numId w:val="2"/>
        </w:numPr>
        <w:spacing w:before="0" w:after="0"/>
      </w:pPr>
      <w:bookmarkStart w:id="7" w:name="_m1dc52lrdl4f" w:colFirst="0" w:colLast="0"/>
      <w:bookmarkEnd w:id="7"/>
      <w:r>
        <w:t>Selezione di fornitori solidi con garanzie di assistenza e supporto post-vendita.</w:t>
      </w:r>
      <w:r>
        <w:br/>
      </w:r>
    </w:p>
    <w:p w14:paraId="1A352CFE" w14:textId="77777777" w:rsidR="00AB0869" w:rsidRDefault="00000000" w:rsidP="00712745">
      <w:pPr>
        <w:pStyle w:val="Titolo2"/>
        <w:numPr>
          <w:ilvl w:val="0"/>
          <w:numId w:val="2"/>
        </w:numPr>
        <w:spacing w:before="0" w:after="0"/>
      </w:pPr>
      <w:bookmarkStart w:id="8" w:name="_13xej7qbat44" w:colFirst="0" w:colLast="0"/>
      <w:bookmarkEnd w:id="8"/>
      <w:r>
        <w:t>Confronto tra le diverse formule di acquisizione: acquisto, noleggio, leasing o soluzioni cloud.</w:t>
      </w:r>
      <w:r>
        <w:br/>
      </w:r>
    </w:p>
    <w:p w14:paraId="050BD089" w14:textId="77777777" w:rsidR="00AB0869" w:rsidRDefault="00000000" w:rsidP="00712745">
      <w:pPr>
        <w:pStyle w:val="Titolo2"/>
        <w:numPr>
          <w:ilvl w:val="0"/>
          <w:numId w:val="2"/>
        </w:numPr>
        <w:spacing w:before="0" w:after="0"/>
      </w:pPr>
      <w:bookmarkStart w:id="9" w:name="_9o3qh22qqky2" w:colFirst="0" w:colLast="0"/>
      <w:bookmarkEnd w:id="9"/>
      <w:r>
        <w:t>Pianificazione della fase di implementazione con migrazione graduale e formazione del personale.</w:t>
      </w:r>
      <w:r>
        <w:br/>
      </w:r>
    </w:p>
    <w:p w14:paraId="314BDD74" w14:textId="77777777" w:rsidR="00AB0869" w:rsidRDefault="00000000" w:rsidP="00712745">
      <w:pPr>
        <w:pStyle w:val="Titolo2"/>
        <w:numPr>
          <w:ilvl w:val="0"/>
          <w:numId w:val="2"/>
        </w:numPr>
        <w:spacing w:before="0" w:after="240"/>
      </w:pPr>
      <w:bookmarkStart w:id="10" w:name="_5eemwio9phwf" w:colFirst="0" w:colLast="0"/>
      <w:bookmarkEnd w:id="10"/>
      <w:r>
        <w:t>Integrazione dell’acquisizione nel piano strategico di digitalizzazione e sviluppo aziendale.</w:t>
      </w:r>
    </w:p>
    <w:sectPr w:rsidR="00AB0869">
      <w:headerReference w:type="default" r:id="rId8"/>
      <w:headerReference w:type="first" r:id="rId9"/>
      <w:footerReference w:type="first" r:id="rId10"/>
      <w:pgSz w:w="11906" w:h="16838"/>
      <w:pgMar w:top="0" w:right="1440" w:bottom="1677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3E908" w14:textId="77777777" w:rsidR="00A1672C" w:rsidRDefault="00A1672C">
      <w:pPr>
        <w:spacing w:line="240" w:lineRule="auto"/>
      </w:pPr>
      <w:r>
        <w:separator/>
      </w:r>
    </w:p>
  </w:endnote>
  <w:endnote w:type="continuationSeparator" w:id="0">
    <w:p w14:paraId="55D9D3BA" w14:textId="77777777" w:rsidR="00A1672C" w:rsidRDefault="00A167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7B7D2D-A94F-7147-A3C0-32555346C5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8C3F1AA-B36B-5148-B6FC-CA4243D5805F}"/>
  </w:font>
  <w:font w:name="Montserrat">
    <w:panose1 w:val="000005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5C86007-6EBA-9246-885A-E21BFDBC581D}"/>
  </w:font>
  <w:font w:name="Montserrat Light">
    <w:panose1 w:val="000004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94BB29-5C8F-414F-8D98-69087AB2CF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71384" w14:textId="77777777" w:rsidR="00AB0869" w:rsidRDefault="00AB0869">
    <w:pPr>
      <w:jc w:val="center"/>
      <w:rPr>
        <w:b/>
        <w:bCs/>
        <w:sz w:val="18"/>
        <w:szCs w:val="18"/>
      </w:rPr>
    </w:pPr>
  </w:p>
  <w:p w14:paraId="49945F5B" w14:textId="77777777" w:rsidR="00AB0869" w:rsidRDefault="00A1672C">
    <w:pPr>
      <w:jc w:val="center"/>
      <w:rPr>
        <w:b/>
        <w:bCs/>
        <w:sz w:val="18"/>
        <w:szCs w:val="18"/>
      </w:rPr>
    </w:pPr>
    <w:r>
      <w:rPr>
        <w:noProof/>
      </w:rPr>
      <w:pict w14:anchorId="6D72630E">
        <v:rect id="_x0000_i1025" alt="" style="width:.5pt;height:.05pt;mso-width-percent:0;mso-height-percent:0;mso-width-percent:0;mso-height-percent:0" o:hrpct="1" o:hralign="center" o:hrstd="t" o:hr="t" fillcolor="#a0a0a0" stroked="f"/>
      </w:pict>
    </w:r>
  </w:p>
  <w:p w14:paraId="5C1B0CEF" w14:textId="77777777" w:rsidR="00AB0869" w:rsidRDefault="00AB0869">
    <w:pPr>
      <w:jc w:val="center"/>
      <w:rPr>
        <w:b/>
        <w:bCs/>
        <w:sz w:val="18"/>
        <w:szCs w:val="18"/>
      </w:rPr>
    </w:pPr>
  </w:p>
  <w:p w14:paraId="14CC15BA" w14:textId="77777777" w:rsidR="00AB0869" w:rsidRDefault="00000000">
    <w:pPr>
      <w:jc w:val="center"/>
      <w:rPr>
        <w:sz w:val="18"/>
        <w:szCs w:val="18"/>
      </w:rPr>
    </w:pPr>
    <w:r>
      <w:rPr>
        <w:b/>
        <w:bCs/>
        <w:color w:val="173592"/>
        <w:sz w:val="18"/>
        <w:szCs w:val="18"/>
      </w:rPr>
      <w:t>Connetia s.r.l.</w:t>
    </w:r>
    <w:r>
      <w:rPr>
        <w:color w:val="173592"/>
        <w:sz w:val="18"/>
        <w:szCs w:val="18"/>
      </w:rPr>
      <w:t xml:space="preserve"> </w:t>
    </w:r>
    <w:r>
      <w:rPr>
        <w:sz w:val="18"/>
        <w:szCs w:val="18"/>
      </w:rPr>
      <w:t xml:space="preserve"> |  Start-up Innovativa  |  P.IVA e CF  05076270239</w:t>
    </w:r>
  </w:p>
  <w:p w14:paraId="746A3F6F" w14:textId="77777777" w:rsidR="00AB0869" w:rsidRDefault="00000000">
    <w:pPr>
      <w:jc w:val="center"/>
      <w:rPr>
        <w:color w:val="999999"/>
        <w:sz w:val="18"/>
        <w:szCs w:val="18"/>
      </w:rPr>
    </w:pPr>
    <w:r>
      <w:rPr>
        <w:sz w:val="18"/>
        <w:szCs w:val="18"/>
      </w:rPr>
      <w:t>Sedi: Cologna Veneta  |  Modena  |  Brescia  |  Civitanova Marche</w:t>
    </w:r>
  </w:p>
  <w:p w14:paraId="2B106E60" w14:textId="77777777" w:rsidR="00AB0869" w:rsidRDefault="00AB08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C5409" w14:textId="77777777" w:rsidR="00A1672C" w:rsidRDefault="00A1672C">
      <w:pPr>
        <w:spacing w:line="240" w:lineRule="auto"/>
      </w:pPr>
      <w:r>
        <w:separator/>
      </w:r>
    </w:p>
  </w:footnote>
  <w:footnote w:type="continuationSeparator" w:id="0">
    <w:p w14:paraId="52ABC2D2" w14:textId="77777777" w:rsidR="00A1672C" w:rsidRDefault="00A167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66AA5" w14:textId="77777777" w:rsidR="00AB0869" w:rsidRDefault="00AB086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2E5B1" w14:textId="77777777" w:rsidR="00AB0869" w:rsidRDefault="00AB086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9715B"/>
    <w:multiLevelType w:val="multilevel"/>
    <w:tmpl w:val="0E74C7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CE3B39"/>
    <w:multiLevelType w:val="multilevel"/>
    <w:tmpl w:val="2494A8C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62030862">
    <w:abstractNumId w:val="0"/>
  </w:num>
  <w:num w:numId="2" w16cid:durableId="654145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283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869"/>
    <w:rsid w:val="00712745"/>
    <w:rsid w:val="00A1672C"/>
    <w:rsid w:val="00AB0869"/>
    <w:rsid w:val="00DD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F93FAF"/>
  <w15:docId w15:val="{1AC58F20-DB47-E849-9FFE-2E5B445F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173592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/>
      <w:outlineLvl w:val="1"/>
    </w:pPr>
    <w:rPr>
      <w:color w:val="173592"/>
      <w:sz w:val="30"/>
      <w:szCs w:val="3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b/>
      <w:bCs/>
      <w:i/>
      <w:iCs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Times New Roman" w:eastAsia="Times New Roman" w:hAnsi="Times New Roman" w:cs="Times New Roman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Michele Grimaldi</cp:lastModifiedBy>
  <cp:revision>2</cp:revision>
  <dcterms:created xsi:type="dcterms:W3CDTF">2025-12-02T15:20:00Z</dcterms:created>
  <dcterms:modified xsi:type="dcterms:W3CDTF">2025-12-02T15:21:00Z</dcterms:modified>
</cp:coreProperties>
</file>